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3255"/>
        </w:tabs>
        <w:jc w:val="distribute"/>
        <w:rPr>
          <w:rFonts w:ascii="方正小标宋简体" w:eastAsia="方正小标宋简体"/>
          <w:color w:val="ff0000"/>
          <w:kern w:val="0"/>
          <w:sz w:val="80"/>
        </w:rPr>
      </w:pPr>
      <w:r>
        <w:rPr>
          <w:rFonts w:ascii="方正小标宋简体" w:eastAsia="方正小标宋简体" w:hint="eastAsia"/>
          <w:color w:val="ff0000"/>
          <w:kern w:val="0"/>
          <w:sz w:val="80"/>
        </w:rPr>
        <w:t>中国医疗器械行业协会</w:t>
      </w:r>
    </w:p>
    <w:p>
      <w:pPr>
        <w:pStyle w:val="style0"/>
        <w:jc w:val="center"/>
        <w:rPr/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130" cy="0"/>
                <wp:effectExtent l="28575" t="28575" r="33020" b="28575"/>
                <wp:wrapNone/>
                <wp:docPr id="1026" name="直接连接符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20130" cy="0"/>
                        </a:xfrm>
                        <a:prstGeom prst="line"/>
                        <a:ln cmpd="thickThin" cap="flat" w="50800">
                          <a:solidFill>
                            <a:srgbClr val="c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6" filled="f" stroked="t" from="0.0pt,0.0pt" to="481.9pt,0.0pt" style="position:absolute;z-index:4;mso-position-horizontal:center;mso-position-horizontal-relative:text;mso-position-vertical-relative:text;mso-width-percent:0;mso-height-percent:0;mso-width-relative:page;mso-height-relative:page;mso-wrap-distance-left:0.0pt;mso-wrap-distance-right:0.0pt;visibility:visible;">
                <v:stroke linestyle="thickThin" color="#c00000" weight="4.0pt"/>
                <v:fill/>
              </v:line>
            </w:pict>
          </mc:Fallback>
        </mc:AlternateContent>
      </w:r>
    </w:p>
    <w:p>
      <w:pPr>
        <w:pStyle w:val="style1"/>
        <w:spacing w:before="120" w:after="120"/>
        <w:jc w:val="center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关于收集医用耗材</w:t>
      </w:r>
      <w:r>
        <w:rPr>
          <w:rFonts w:ascii="宋体" w:eastAsia="宋体" w:hAnsi="宋体" w:hint="eastAsia"/>
          <w:color w:val="000000"/>
        </w:rPr>
        <w:t>产品信息的通知</w:t>
      </w:r>
    </w:p>
    <w:p>
      <w:pPr>
        <w:pStyle w:val="style0"/>
        <w:spacing w:lineRule="exact" w:line="560"/>
        <w:rPr>
          <w:rFonts w:ascii="仿宋_GB2312" w:eastAsia="仿宋_GB2312" w:hAnsi="仿宋"/>
          <w:b/>
          <w:color w:val="000000"/>
          <w:sz w:val="32"/>
          <w:szCs w:val="32"/>
        </w:rPr>
      </w:pPr>
    </w:p>
    <w:p>
      <w:pPr>
        <w:pStyle w:val="style0"/>
        <w:spacing w:lineRule="exact" w:line="560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各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医疗器械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生产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、经营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企业：</w:t>
      </w:r>
    </w:p>
    <w:p>
      <w:pPr>
        <w:pStyle w:val="style0"/>
        <w:spacing w:lineRule="exact" w:line="56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ab/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根据食品药品监管总局器械注册司下发的《关于请协助提供医疗器械编码有关情况的函》（械注【</w:t>
      </w:r>
      <w:r>
        <w:rPr>
          <w:rFonts w:ascii="仿宋_GB2312" w:eastAsia="仿宋_GB2312" w:hAnsi="仿宋"/>
          <w:color w:val="000000"/>
          <w:sz w:val="32"/>
          <w:szCs w:val="32"/>
        </w:rPr>
        <w:t>2017】298号）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（详见附件</w:t>
      </w:r>
      <w:r>
        <w:rPr>
          <w:rFonts w:ascii="仿宋_GB2312" w:eastAsia="仿宋_GB2312" w:hAnsi="仿宋"/>
          <w:color w:val="000000"/>
          <w:sz w:val="32"/>
          <w:szCs w:val="32"/>
        </w:rPr>
        <w:t>1）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相关要求，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中国医疗器械行业协会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特委托二级机构“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中国医疗器械行业协会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医疗器械物联网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管理专业委员会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（以下简称“专委会”）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完成相关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调研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工作，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专委会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将使用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合医（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北京）网络科技有限公司现有“医疗机构医用物资信息采集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系统”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（以下简称“系统”）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进行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企业产品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编码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数据采集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，以便完成总局下达的调研任务，同时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形成医疗器械行业基础数据平台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未来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专委会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数据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平台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为基础推动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医疗器械编码的标准化和规范化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工作，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与相关部门合作，推广产品标准编码在医疗器械全程追溯、不良事件上报、器械召回管理、集采平台数据对接和医保结算审核分析等方面的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应用，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为政府监管部门、生产经营企业和医疗机构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管理提供便利。</w:t>
      </w:r>
    </w:p>
    <w:p>
      <w:pPr>
        <w:pStyle w:val="style0"/>
        <w:spacing w:lineRule="exact" w:line="560"/>
        <w:ind w:firstLine="640" w:firstLineChars="2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企业填报数据归属各填报企业自身所有。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请各企业安排专人协助做好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工作。具体要求如下：</w:t>
      </w:r>
    </w:p>
    <w:p>
      <w:pPr>
        <w:pStyle w:val="style179"/>
        <w:numPr>
          <w:ilvl w:val="0"/>
          <w:numId w:val="6"/>
        </w:numPr>
        <w:spacing w:lineRule="exact" w:line="560"/>
        <w:ind w:firstLineChars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填报企业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：所有医疗器械生产企业和经营企业。</w:t>
      </w:r>
    </w:p>
    <w:p>
      <w:pPr>
        <w:pStyle w:val="style179"/>
        <w:numPr>
          <w:ilvl w:val="0"/>
          <w:numId w:val="6"/>
        </w:numPr>
        <w:spacing w:lineRule="exact" w:line="560"/>
        <w:ind w:firstLineChars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填报网址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：各企业首先登录填报系统（网址：</w:t>
      </w:r>
      <w:r>
        <w:rPr/>
        <w:fldChar w:fldCharType="begin"/>
      </w:r>
      <w:r>
        <w:instrText xml:space="preserve"> HYPERLINK "https://plata.camdi.org" </w:instrText>
      </w:r>
      <w:r>
        <w:rPr/>
        <w:fldChar w:fldCharType="separate"/>
      </w:r>
      <w:r>
        <w:rPr>
          <w:rStyle w:val="style85"/>
          <w:rFonts w:ascii="仿宋_GB2312" w:eastAsia="仿宋_GB2312" w:hAnsi="仿宋"/>
          <w:sz w:val="32"/>
          <w:szCs w:val="32"/>
        </w:rPr>
        <w:t>https://plata.camdi.org</w:t>
      </w:r>
      <w:r>
        <w:rPr/>
        <w:fldChar w:fldCharType="end"/>
      </w:r>
      <w:r>
        <w:rPr>
          <w:rFonts w:ascii="仿宋_GB2312" w:eastAsia="仿宋_GB2312" w:hAnsi="仿宋" w:hint="eastAsia"/>
          <w:color w:val="000000"/>
          <w:sz w:val="32"/>
          <w:szCs w:val="32"/>
        </w:rPr>
        <w:t>或</w:t>
      </w:r>
      <w:r>
        <w:rPr/>
        <w:fldChar w:fldCharType="begin"/>
      </w:r>
      <w:r>
        <w:instrText xml:space="preserve"> HYPERLINK "https://plat.heyimed.com" </w:instrText>
      </w:r>
      <w:r>
        <w:rPr/>
        <w:fldChar w:fldCharType="separate"/>
      </w:r>
      <w:r>
        <w:rPr>
          <w:rStyle w:val="style85"/>
          <w:rFonts w:ascii="仿宋_GB2312" w:eastAsia="仿宋_GB2312" w:hAnsi="仿宋"/>
          <w:sz w:val="32"/>
          <w:szCs w:val="32"/>
        </w:rPr>
        <w:t>https://plat.heyimed.com</w:t>
      </w:r>
      <w:r>
        <w:rPr/>
        <w:fldChar w:fldCharType="end"/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/>
          <w:sz w:val="36"/>
          <w:szCs w:val="32"/>
        </w:rPr>
        <w:t>进行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注册，待审核通过后进行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填报。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b/>
          <w:color w:val="000000"/>
          <w:sz w:val="32"/>
          <w:szCs w:val="32"/>
        </w:rPr>
        <w:t>3.</w:t>
      </w:r>
      <w:r>
        <w:rPr>
          <w:rFonts w:ascii="仿宋_GB2312" w:eastAsia="仿宋_GB2312" w:hAnsi="仿宋"/>
          <w:b/>
          <w:color w:val="000000"/>
          <w:sz w:val="32"/>
          <w:szCs w:val="32"/>
        </w:rPr>
        <w:t>填报内容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）生产企业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须填报企业资质、产品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注册证、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产品信息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（不含价格信息）和产品编码信息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即产品包装上的条码信息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）经营企业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仅须填报企业资质信息。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/>
          <w:b/>
          <w:color w:val="000000"/>
          <w:sz w:val="32"/>
          <w:szCs w:val="32"/>
        </w:rPr>
        <w:t>4.填报时间：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请于</w:t>
      </w:r>
      <w:r>
        <w:rPr>
          <w:rFonts w:ascii="仿宋_GB2312" w:eastAsia="仿宋_GB2312" w:hAnsi="仿宋"/>
          <w:color w:val="000000"/>
          <w:sz w:val="32"/>
          <w:szCs w:val="32"/>
        </w:rPr>
        <w:t>2017年12月</w:t>
      </w:r>
      <w:r>
        <w:rPr>
          <w:rFonts w:ascii="仿宋_GB2312" w:eastAsia="仿宋_GB2312" w:hAnsi="仿宋"/>
          <w:color w:val="000000"/>
          <w:sz w:val="32"/>
          <w:szCs w:val="32"/>
        </w:rPr>
        <w:t>31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日前完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成填报。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/>
          <w:color w:val="000000"/>
          <w:sz w:val="32"/>
          <w:szCs w:val="32"/>
        </w:rPr>
        <w:t>2）《医疗器械行业基础数据平台》将长期运行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，各企业如有数据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更新和调整需求，请随时登录系统进行操作。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b/>
          <w:color w:val="000000"/>
          <w:sz w:val="32"/>
          <w:szCs w:val="32"/>
        </w:rPr>
        <w:t>5.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填报咨询电话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/>
          <w:color w:val="000000"/>
          <w:sz w:val="32"/>
          <w:szCs w:val="32"/>
        </w:rPr>
        <w:t>010-85072289、010-85072281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/>
          <w:b/>
          <w:color w:val="000000"/>
          <w:sz w:val="32"/>
          <w:szCs w:val="32"/>
        </w:rPr>
        <w:t>6</w:t>
      </w:r>
      <w:r>
        <w:rPr>
          <w:rFonts w:ascii="仿宋_GB2312" w:eastAsia="仿宋_GB2312" w:hAnsi="仿宋"/>
          <w:b/>
          <w:color w:val="000000"/>
          <w:sz w:val="32"/>
          <w:szCs w:val="32"/>
        </w:rPr>
        <w:t>.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产品编码填报须知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：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/>
          <w:color w:val="000000"/>
          <w:sz w:val="32"/>
          <w:szCs w:val="32"/>
        </w:rPr>
        <w:t>1）产品编码即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印刷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产品包装上用于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识别产品的条码信息；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/>
          <w:color w:val="000000"/>
          <w:sz w:val="32"/>
          <w:szCs w:val="32"/>
        </w:rPr>
        <w:t>2）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各企业如产品包装上印刷有产品条码信息的必须填报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/>
          <w:color w:val="000000"/>
          <w:sz w:val="32"/>
          <w:szCs w:val="32"/>
        </w:rPr>
        <w:t>3）如企业产品包装上没有条码信息，只填写产品信息，产品编码信息字段可以为空。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具体请参见填报系统中的使用指南。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/>
          <w:b/>
          <w:color w:val="000000"/>
          <w:sz w:val="32"/>
          <w:szCs w:val="32"/>
        </w:rPr>
        <w:t>7</w:t>
      </w:r>
      <w:r>
        <w:rPr>
          <w:rFonts w:ascii="仿宋_GB2312" w:eastAsia="仿宋_GB2312" w:hAnsi="仿宋"/>
          <w:b/>
          <w:color w:val="000000"/>
          <w:sz w:val="32"/>
          <w:szCs w:val="32"/>
        </w:rPr>
        <w:t>.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填报注意事项：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/>
          <w:color w:val="000000"/>
          <w:sz w:val="32"/>
          <w:szCs w:val="32"/>
        </w:rPr>
        <w:t>1）每个企业只能注册1个主账号，企业根据管理需要可在主账号下设置多个子账号。各企业请妥善管理账号。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/>
          <w:color w:val="000000"/>
          <w:sz w:val="32"/>
          <w:szCs w:val="32"/>
        </w:rPr>
        <w:t>2）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企业注册过程中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如遇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系统提示“企业已经注册”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情况，请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通过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填报咨询电话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查询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企业注册联系人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，通过企业内部协调账号管理相关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事宜。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/>
          <w:color w:val="000000"/>
          <w:sz w:val="32"/>
          <w:szCs w:val="32"/>
        </w:rPr>
        <w:t>3）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企业完成数据填报后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，请通过授权操作授权协会使用其产品数据进行编码分析。（具体请参见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填报系统使用指南）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/>
          <w:color w:val="000000"/>
          <w:sz w:val="32"/>
          <w:szCs w:val="32"/>
        </w:rPr>
        <w:t>4）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各企业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关注微信公众号，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以便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接收协会相关通知。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/>
          <w:b/>
          <w:noProof/>
          <w:color w:val="000000"/>
          <w:sz w:val="32"/>
          <w:szCs w:val="32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1626870</wp:posOffset>
            </wp:positionH>
            <wp:positionV relativeFrom="paragraph">
              <wp:posOffset>68580</wp:posOffset>
            </wp:positionV>
            <wp:extent cx="1668779" cy="1668780"/>
            <wp:effectExtent l="0" t="0" r="7620" b="7620"/>
            <wp:wrapNone/>
            <wp:docPr id="1027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68779" cy="16687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仿宋"/>
          <w:b/>
          <w:color w:val="000000"/>
          <w:sz w:val="32"/>
          <w:szCs w:val="32"/>
        </w:rPr>
        <w:t>8.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微信公众号：</w:t>
      </w:r>
    </w:p>
    <w:p>
      <w:pPr>
        <w:pStyle w:val="style0"/>
        <w:spacing w:lineRule="exact" w:line="560"/>
        <w:ind w:left="640"/>
        <w:rPr>
          <w:rFonts w:ascii="仿宋_GB2312" w:eastAsia="仿宋_GB2312" w:hAnsi="仿宋"/>
          <w:b/>
          <w:color w:val="000000"/>
          <w:sz w:val="32"/>
          <w:szCs w:val="32"/>
        </w:rPr>
      </w:pPr>
    </w:p>
    <w:p>
      <w:pPr>
        <w:pStyle w:val="style0"/>
        <w:spacing w:lineRule="exact" w:line="560"/>
        <w:ind w:left="640"/>
        <w:rPr>
          <w:rFonts w:ascii="仿宋_GB2312" w:eastAsia="仿宋_GB2312" w:hAnsi="仿宋"/>
          <w:color w:val="000000"/>
          <w:sz w:val="32"/>
          <w:szCs w:val="32"/>
        </w:rPr>
      </w:pPr>
    </w:p>
    <w:p>
      <w:pPr>
        <w:pStyle w:val="style0"/>
        <w:spacing w:lineRule="exact" w:line="560"/>
        <w:ind w:left="640"/>
        <w:rPr>
          <w:rFonts w:ascii="仿宋_GB2312" w:eastAsia="仿宋_GB2312" w:hAnsi="仿宋"/>
          <w:color w:val="000000"/>
          <w:sz w:val="32"/>
          <w:szCs w:val="32"/>
        </w:rPr>
      </w:pPr>
    </w:p>
    <w:p>
      <w:pPr>
        <w:pStyle w:val="style0"/>
        <w:spacing w:lineRule="exact" w:line="560"/>
        <w:ind w:left="640"/>
        <w:rPr>
          <w:rFonts w:ascii="仿宋_GB2312" w:eastAsia="仿宋_GB2312" w:hAnsi="仿宋"/>
          <w:color w:val="000000"/>
          <w:sz w:val="32"/>
          <w:szCs w:val="32"/>
        </w:rPr>
      </w:pPr>
    </w:p>
    <w:p>
      <w:pPr>
        <w:pStyle w:val="style0"/>
        <w:spacing w:lineRule="exact" w:line="500"/>
        <w:ind w:left="640"/>
        <w:rPr>
          <w:rFonts w:ascii="仿宋_GB2312" w:eastAsia="仿宋_GB2312" w:hAnsi="仿宋"/>
          <w:color w:val="000000"/>
          <w:sz w:val="32"/>
          <w:szCs w:val="32"/>
        </w:rPr>
      </w:pPr>
    </w:p>
    <w:p>
      <w:pPr>
        <w:pStyle w:val="style0"/>
        <w:spacing w:lineRule="exact" w:line="500"/>
        <w:ind w:left="640"/>
        <w:rPr>
          <w:rFonts w:ascii="仿宋_GB2312" w:eastAsia="仿宋_GB2312" w:hAnsi="仿宋"/>
          <w:color w:val="000000"/>
          <w:sz w:val="32"/>
          <w:szCs w:val="32"/>
        </w:rPr>
      </w:pPr>
    </w:p>
    <w:p>
      <w:pPr>
        <w:pStyle w:val="style0"/>
        <w:spacing w:lineRule="exact" w:line="500"/>
        <w:ind w:left="640"/>
        <w:rPr>
          <w:rFonts w:ascii="仿宋_GB2312" w:eastAsia="仿宋_GB2312" w:hAnsi="仿宋"/>
          <w:color w:val="000000"/>
          <w:sz w:val="32"/>
          <w:szCs w:val="32"/>
        </w:rPr>
      </w:pPr>
    </w:p>
    <w:p>
      <w:pPr>
        <w:pStyle w:val="style0"/>
        <w:spacing w:lineRule="exact" w:line="500"/>
        <w:ind w:left="640"/>
        <w:rPr>
          <w:rFonts w:ascii="仿宋_GB2312" w:eastAsia="仿宋_GB2312" w:hAnsi="仿宋"/>
          <w:color w:val="000000"/>
          <w:sz w:val="32"/>
          <w:szCs w:val="32"/>
        </w:rPr>
      </w:pPr>
    </w:p>
    <w:p>
      <w:pPr>
        <w:pStyle w:val="style0"/>
        <w:spacing w:lineRule="exact" w:line="500"/>
        <w:ind w:left="640"/>
        <w:rPr>
          <w:rFonts w:ascii="仿宋_GB2312" w:eastAsia="仿宋_GB2312" w:hAnsi="仿宋"/>
          <w:color w:val="000000"/>
          <w:sz w:val="32"/>
          <w:szCs w:val="32"/>
        </w:rPr>
      </w:pPr>
    </w:p>
    <w:p>
      <w:pPr>
        <w:pStyle w:val="style0"/>
        <w:spacing w:lineRule="exact" w:line="500"/>
        <w:ind w:left="640"/>
        <w:rPr>
          <w:rFonts w:ascii="仿宋_GB2312" w:eastAsia="仿宋_GB2312" w:hAnsi="仿宋"/>
          <w:color w:val="000000"/>
          <w:sz w:val="32"/>
          <w:szCs w:val="32"/>
        </w:rPr>
      </w:pPr>
    </w:p>
    <w:p>
      <w:pPr>
        <w:pStyle w:val="style0"/>
        <w:spacing w:lineRule="exact" w:line="500"/>
        <w:ind w:left="2080" w:leftChars="305" w:hanging="1440" w:hangingChars="45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/>
          <w:sz w:val="32"/>
          <w:szCs w:val="32"/>
        </w:rPr>
        <w:tab/>
      </w:r>
      <w:r>
        <w:rPr>
          <w:rFonts w:ascii="仿宋_GB2312" w:eastAsia="仿宋_GB2312" w:hAnsi="仿宋"/>
          <w:color w:val="000000"/>
          <w:sz w:val="32"/>
          <w:szCs w:val="32"/>
        </w:rPr>
        <w:tab/>
      </w:r>
      <w:r>
        <w:rPr>
          <w:rFonts w:ascii="仿宋_GB2312" w:eastAsia="仿宋_GB2312" w:hAnsi="仿宋"/>
          <w:color w:val="000000"/>
          <w:sz w:val="32"/>
          <w:szCs w:val="32"/>
        </w:rPr>
        <w:tab/>
      </w:r>
      <w:r>
        <w:rPr>
          <w:rFonts w:ascii="仿宋_GB2312" w:eastAsia="仿宋_GB2312" w:hAnsi="仿宋"/>
          <w:color w:val="000000"/>
          <w:sz w:val="32"/>
          <w:szCs w:val="32"/>
        </w:rPr>
        <w:tab/>
      </w:r>
      <w:r>
        <w:rPr>
          <w:rFonts w:ascii="仿宋_GB2312" w:eastAsia="仿宋_GB2312" w:hAnsi="仿宋"/>
          <w:color w:val="000000"/>
          <w:sz w:val="32"/>
          <w:szCs w:val="32"/>
        </w:rPr>
        <w:tab/>
      </w:r>
      <w:r>
        <w:rPr>
          <w:rFonts w:ascii="仿宋_GB2312" w:eastAsia="仿宋_GB2312" w:hAnsi="仿宋"/>
          <w:color w:val="000000"/>
          <w:sz w:val="32"/>
          <w:szCs w:val="32"/>
        </w:rPr>
        <w:tab/>
      </w:r>
      <w:r>
        <w:rPr>
          <w:rFonts w:ascii="仿宋_GB2312" w:eastAsia="仿宋_GB2312" w:hAnsi="仿宋"/>
          <w:color w:val="000000"/>
          <w:sz w:val="32"/>
          <w:szCs w:val="32"/>
        </w:rPr>
        <w:tab/>
      </w:r>
      <w:r>
        <w:rPr>
          <w:rFonts w:ascii="仿宋_GB2312" w:eastAsia="仿宋_GB2312" w:hAnsi="仿宋"/>
          <w:color w:val="000000"/>
          <w:sz w:val="32"/>
          <w:szCs w:val="32"/>
        </w:rPr>
        <w:tab/>
      </w:r>
      <w:r>
        <w:rPr>
          <w:rFonts w:ascii="仿宋_GB2312" w:eastAsia="仿宋_GB2312" w:hAnsi="仿宋"/>
          <w:color w:val="000000"/>
          <w:sz w:val="32"/>
          <w:szCs w:val="32"/>
        </w:rPr>
        <w:tab/>
      </w:r>
      <w:r>
        <w:rPr>
          <w:rFonts w:ascii="仿宋_GB2312" w:eastAsia="仿宋_GB2312" w:hAnsi="仿宋"/>
          <w:color w:val="000000"/>
          <w:sz w:val="32"/>
          <w:szCs w:val="32"/>
        </w:rPr>
        <w:tab/>
      </w:r>
      <w:r>
        <w:rPr>
          <w:rFonts w:ascii="仿宋_GB2312" w:eastAsia="仿宋_GB2312" w:hAnsi="仿宋" w:hint="eastAsia"/>
          <w:color w:val="000000"/>
          <w:sz w:val="32"/>
          <w:szCs w:val="32"/>
        </w:rPr>
        <w:t>中国医疗器械行业协会</w:t>
      </w:r>
    </w:p>
    <w:p>
      <w:pPr>
        <w:pStyle w:val="style0"/>
        <w:spacing w:lineRule="exact" w:line="500"/>
        <w:ind w:left="2080" w:leftChars="305" w:hanging="1440" w:hangingChars="45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"/>
          <w:color w:val="000000"/>
          <w:sz w:val="32"/>
          <w:szCs w:val="32"/>
        </w:rPr>
        <w:t>2017年1</w:t>
      </w: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/>
          <w:color w:val="000000"/>
          <w:sz w:val="32"/>
          <w:szCs w:val="32"/>
        </w:rPr>
        <w:t>月</w:t>
      </w:r>
      <w:r>
        <w:rPr>
          <w:rFonts w:ascii="仿宋_GB2312" w:eastAsia="仿宋_GB2312" w:hAnsi="仿宋"/>
          <w:color w:val="000000"/>
          <w:sz w:val="32"/>
          <w:szCs w:val="32"/>
        </w:rPr>
        <w:t>1</w:t>
      </w:r>
      <w:r>
        <w:rPr>
          <w:rFonts w:ascii="仿宋_GB2312" w:eastAsia="仿宋_GB2312" w:hAnsi="仿宋"/>
          <w:color w:val="000000"/>
          <w:sz w:val="32"/>
          <w:szCs w:val="32"/>
        </w:rPr>
        <w:t>日</w:t>
      </w:r>
    </w:p>
    <w:p>
      <w:pPr>
        <w:pStyle w:val="style0"/>
        <w:widowControl/>
        <w:jc w:val="lef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br w:type="page"/>
      </w: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/>
          <w:color w:val="000000"/>
          <w:sz w:val="32"/>
          <w:szCs w:val="32"/>
        </w:rPr>
        <w:t>1</w:t>
      </w: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noProof/>
          <w:color w:val="000000"/>
          <w:sz w:val="28"/>
          <w:szCs w:val="28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11430</wp:posOffset>
            </wp:positionH>
            <wp:positionV relativeFrom="paragraph">
              <wp:posOffset>96520</wp:posOffset>
            </wp:positionV>
            <wp:extent cx="6120765" cy="8615045"/>
            <wp:effectExtent l="0" t="0" r="0" b="0"/>
            <wp:wrapNone/>
            <wp:docPr id="1028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120765" cy="8615045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tabs>
          <w:tab w:val="left" w:leader="none" w:pos="6300"/>
        </w:tabs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  <w:r>
        <w:rPr>
          <w:rFonts w:ascii="仿宋" w:eastAsia="仿宋" w:hAnsi="仿宋"/>
          <w:b/>
          <w:noProof/>
          <w:color w:val="000000"/>
          <w:sz w:val="28"/>
          <w:szCs w:val="28"/>
        </w:rPr>
        <w:tab/>
      </w: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p>
      <w:pPr>
        <w:pStyle w:val="style0"/>
        <w:spacing w:lineRule="exact" w:line="500"/>
        <w:ind w:left="640"/>
        <w:rPr>
          <w:rFonts w:ascii="仿宋" w:eastAsia="仿宋" w:hAnsi="仿宋"/>
          <w:b/>
          <w:noProof/>
          <w:color w:val="000000"/>
          <w:sz w:val="28"/>
          <w:szCs w:val="28"/>
        </w:rPr>
      </w:pPr>
    </w:p>
    <w:bookmarkStart w:id="0" w:name="_GoBack"/>
    <w:bookmarkEnd w:id="0"/>
    <w:p>
      <w:pPr>
        <w:pStyle w:val="style1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授权书</w:t>
      </w:r>
    </w:p>
    <w:p>
      <w:pPr>
        <w:pStyle w:val="style0"/>
        <w:rPr>
          <w:rFonts w:ascii="仿宋" w:eastAsia="仿宋" w:hAnsi="仿宋"/>
          <w:sz w:val="32"/>
          <w:szCs w:val="32"/>
          <w:u w:val="single"/>
        </w:rPr>
      </w:pPr>
    </w:p>
    <w:p>
      <w:pPr>
        <w:pStyle w:val="style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>（授权企业名称）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同意授权</w:t>
      </w:r>
      <w:r>
        <w:rPr>
          <w:rFonts w:ascii="仿宋" w:eastAsia="仿宋" w:hAnsi="仿宋" w:hint="eastAsia"/>
          <w:sz w:val="32"/>
          <w:szCs w:val="32"/>
          <w:u w:val="single"/>
        </w:rPr>
        <w:t>中国医疗器械行业协会</w:t>
      </w:r>
      <w:r>
        <w:rPr>
          <w:rFonts w:ascii="仿宋" w:eastAsia="仿宋" w:hAnsi="仿宋" w:hint="eastAsia"/>
          <w:sz w:val="32"/>
          <w:szCs w:val="32"/>
        </w:rPr>
        <w:t>使用我方提供的企业资质、产品注册证、产品编码等相关信息，仅用于完成</w:t>
      </w:r>
      <w:r>
        <w:rPr>
          <w:rFonts w:ascii="仿宋" w:eastAsia="仿宋" w:hAnsi="仿宋" w:hint="eastAsia"/>
          <w:sz w:val="32"/>
          <w:szCs w:val="32"/>
        </w:rPr>
        <w:t>国家食品药品监督管理总局医疗器械注册管理司下发的《关于请协助提供医疗器械编码有关情况的函》（械注【2017】298号）</w:t>
      </w:r>
      <w:r>
        <w:rPr>
          <w:rFonts w:ascii="仿宋" w:eastAsia="仿宋" w:hAnsi="仿宋" w:hint="eastAsia"/>
          <w:sz w:val="32"/>
          <w:szCs w:val="32"/>
        </w:rPr>
        <w:t>中关于编码调研工作。</w:t>
      </w:r>
    </w:p>
    <w:p>
      <w:pPr>
        <w:pStyle w:val="style0"/>
        <w:jc w:val="left"/>
        <w:rPr>
          <w:rFonts w:ascii="仿宋" w:eastAsia="仿宋" w:hAnsi="仿宋"/>
          <w:sz w:val="32"/>
          <w:szCs w:val="32"/>
        </w:rPr>
      </w:pPr>
    </w:p>
    <w:p>
      <w:pPr>
        <w:pStyle w:val="style0"/>
        <w:ind w:firstLine="64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特此授权。</w:t>
      </w:r>
    </w:p>
    <w:p>
      <w:pPr>
        <w:pStyle w:val="style0"/>
        <w:ind w:firstLine="648"/>
        <w:jc w:val="left"/>
        <w:rPr>
          <w:rFonts w:ascii="仿宋" w:eastAsia="仿宋" w:hAnsi="仿宋"/>
          <w:sz w:val="32"/>
          <w:szCs w:val="32"/>
        </w:rPr>
      </w:pPr>
    </w:p>
    <w:p>
      <w:pPr>
        <w:pStyle w:val="style0"/>
        <w:ind w:firstLine="648"/>
        <w:jc w:val="left"/>
        <w:rPr>
          <w:rFonts w:ascii="仿宋" w:eastAsia="仿宋" w:hAnsi="仿宋"/>
          <w:sz w:val="32"/>
          <w:szCs w:val="32"/>
        </w:rPr>
      </w:pPr>
    </w:p>
    <w:p>
      <w:pPr>
        <w:pStyle w:val="style0"/>
        <w:ind w:firstLine="648"/>
        <w:jc w:val="left"/>
        <w:rPr>
          <w:rFonts w:ascii="仿宋" w:eastAsia="仿宋" w:hAnsi="仿宋"/>
          <w:sz w:val="32"/>
          <w:szCs w:val="32"/>
        </w:rPr>
      </w:pPr>
    </w:p>
    <w:p>
      <w:pPr>
        <w:pStyle w:val="style0"/>
        <w:ind w:firstLine="648"/>
        <w:jc w:val="left"/>
        <w:rPr>
          <w:rFonts w:ascii="仿宋" w:eastAsia="仿宋" w:hAnsi="仿宋"/>
          <w:sz w:val="32"/>
          <w:szCs w:val="32"/>
        </w:rPr>
      </w:pPr>
    </w:p>
    <w:p>
      <w:pPr>
        <w:pStyle w:val="style0"/>
        <w:ind w:firstLine="648"/>
        <w:jc w:val="left"/>
        <w:rPr>
          <w:rFonts w:ascii="仿宋" w:eastAsia="仿宋" w:hAnsi="仿宋"/>
          <w:sz w:val="32"/>
          <w:szCs w:val="32"/>
        </w:rPr>
      </w:pPr>
    </w:p>
    <w:p>
      <w:pPr>
        <w:pStyle w:val="style0"/>
        <w:ind w:firstLine="648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授权企业名称：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>（授权企业名称）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>
      <w:pPr>
        <w:pStyle w:val="style0"/>
        <w:ind w:firstLine="64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授权</w:t>
      </w:r>
      <w:r>
        <w:rPr>
          <w:rFonts w:ascii="仿宋" w:eastAsia="仿宋" w:hAnsi="仿宋" w:hint="eastAsia"/>
          <w:sz w:val="32"/>
          <w:szCs w:val="32"/>
        </w:rPr>
        <w:t>企业盖章：</w:t>
      </w:r>
    </w:p>
    <w:p>
      <w:pPr>
        <w:pStyle w:val="style0"/>
        <w:ind w:firstLine="64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2017</w:t>
      </w:r>
      <w:r>
        <w:rPr>
          <w:rFonts w:ascii="仿宋" w:eastAsia="仿宋" w:hAnsi="仿宋" w:hint="eastAsia"/>
          <w:sz w:val="32"/>
          <w:szCs w:val="32"/>
        </w:rPr>
        <w:t>年   月    日</w:t>
      </w:r>
    </w:p>
    <w:sectPr>
      <w:pgSz w:w="11906" w:h="16838" w:orient="portrait"/>
      <w:pgMar w:top="1797" w:right="1133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1609222"/>
    <w:lvl w:ilvl="0" w:tplc="ADEE34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hybridMultilevel"/>
    <w:tmpl w:val="6632280E"/>
    <w:lvl w:ilvl="0" w:tplc="9FA6377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0000002"/>
    <w:multiLevelType w:val="hybridMultilevel"/>
    <w:tmpl w:val="F5880958"/>
    <w:lvl w:ilvl="0" w:tplc="D23A884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3"/>
    <w:multiLevelType w:val="hybridMultilevel"/>
    <w:tmpl w:val="C212E1F4"/>
    <w:lvl w:ilvl="0" w:tplc="6F069C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4"/>
    <w:multiLevelType w:val="hybridMultilevel"/>
    <w:tmpl w:val="B6C40CCC"/>
    <w:lvl w:ilvl="0" w:tplc="8BF00A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5"/>
    <w:multiLevelType w:val="hybridMultilevel"/>
    <w:tmpl w:val="B6209838"/>
    <w:lvl w:ilvl="0" w:tplc="F038529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00000006"/>
    <w:multiLevelType w:val="hybridMultilevel"/>
    <w:tmpl w:val="233C0F38"/>
    <w:lvl w:ilvl="0" w:tplc="02A860E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00000007"/>
    <w:multiLevelType w:val="hybridMultilevel"/>
    <w:tmpl w:val="B3A67822"/>
    <w:lvl w:ilvl="0" w:tplc="2CB4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00000008"/>
    <w:multiLevelType w:val="hybridMultilevel"/>
    <w:tmpl w:val="B3A67822"/>
    <w:lvl w:ilvl="0" w:tplc="2CB4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1 字符"/>
    <w:basedOn w:val="style65"/>
    <w:next w:val="style4097"/>
    <w:link w:val="style1"/>
    <w:uiPriority w:val="9"/>
    <w:rPr>
      <w:b/>
      <w:bCs/>
      <w:kern w:val="44"/>
      <w:sz w:val="44"/>
      <w:szCs w:val="44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字符"/>
    <w:basedOn w:val="style65"/>
    <w:next w:val="style4098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uiPriority w:val="99"/>
    <w:rPr>
      <w:sz w:val="18"/>
      <w:szCs w:val="18"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100"/>
    <w:uiPriority w:val="99"/>
    <w:pPr/>
    <w:rPr>
      <w:sz w:val="18"/>
      <w:szCs w:val="18"/>
    </w:rPr>
  </w:style>
  <w:style w:type="character" w:customStyle="1" w:styleId="style4100">
    <w:name w:val="批注框文本 字符"/>
    <w:basedOn w:val="style65"/>
    <w:next w:val="style4100"/>
    <w:link w:val="style153"/>
    <w:uiPriority w:val="99"/>
    <w:rPr>
      <w:sz w:val="18"/>
      <w:szCs w:val="18"/>
    </w:rPr>
  </w:style>
  <w:style w:type="paragraph" w:styleId="style76">
    <w:name w:val="Date"/>
    <w:basedOn w:val="style0"/>
    <w:next w:val="style0"/>
    <w:link w:val="style4101"/>
    <w:uiPriority w:val="99"/>
    <w:pPr>
      <w:ind w:left="100" w:leftChars="2500"/>
    </w:pPr>
    <w:rPr/>
  </w:style>
  <w:style w:type="character" w:customStyle="1" w:styleId="style4101">
    <w:name w:val="日期 字符"/>
    <w:basedOn w:val="style65"/>
    <w:next w:val="style4101"/>
    <w:link w:val="style76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1143</Words>
  <Pages>1</Pages>
  <Characters>1238</Characters>
  <Application>WPS Office</Application>
  <DocSecurity>0</DocSecurity>
  <Paragraphs>78</Paragraphs>
  <ScaleCrop>false</ScaleCrop>
  <LinksUpToDate>false</LinksUpToDate>
  <CharactersWithSpaces>1380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2017-12-06T04:35:36Z</dcterms:created>
  <dc:creator>dmi301</dc:creator>
  <lastModifiedBy>段</lastModifiedBy>
  <lastPrinted>2017-12-05T04:45:00Z</lastPrinted>
  <dcterms:modified xsi:type="dcterms:W3CDTF">2017-12-06T10:38:50Z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